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3322"/>
        <w:gridCol w:w="3324"/>
        <w:gridCol w:w="3326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Sabato 18 luglio 2020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Domenica 19 luglio 2020</w:t>
            </w:r>
          </w:p>
        </w:tc>
      </w:tr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D-9</w:t>
            </w:r>
            <w:r>
              <w:rPr/>
              <w:t>6</w:t>
            </w:r>
            <w:r>
              <w:rPr/>
              <w:t>85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I-TAFA  1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I-TAFA  2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I-IVAE  1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I-IVAE  2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390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both"/>
      <w:rPr/>
    </w:pPr>
    <w:r>
      <w:rPr/>
      <w:t>M</w:t>
    </w:r>
    <w:r>
      <w:rPr/>
      <w:t>essa a disposizione di paracadute personali da parte di soci al fine di sopperire alla temporanea indisponibilita` dei paracadute in dotazione alla flotta AVUT (mancato rientro via corriere dall’ispezione annuale).</w:t>
    </w:r>
  </w:p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  <w:t xml:space="preserve">Il socio donatore provvedera` a depositare il proprio paracadute </w:t>
    </w:r>
    <w:r>
      <w:rPr>
        <w:b/>
        <w:bCs/>
      </w:rPr>
      <w:t>in regola</w:t>
    </w:r>
    <w:r>
      <w:rPr/>
      <w:t xml:space="preserve"> </w:t>
    </w:r>
    <w:r>
      <w:rPr/>
      <w:t xml:space="preserve">in segreteria (o direttamente a bordo) la mattina prima dell’inizio dell’attivita`. L’ultimo socio fruitore lo riconsegnera` in segreteria (o a bordo, </w:t>
    </w:r>
    <w:r>
      <w:rPr/>
      <w:t>nel caso che la segreteria sia chiusa</w:t>
    </w:r>
    <w:r>
      <w:rPr/>
      <w:t>) al termine della giornata.</w:t>
    </w:r>
  </w:p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  <w:t>Il proprietario provvedera` al recupero nel piu` breve tempo possibile.</w:t>
    </w:r>
  </w:p>
  <w:p>
    <w:pPr>
      <w:pStyle w:val="Header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LibreOffice/6.0.7.3$Linux_X86_64 LibreOffice_project/00m0$Build-3</Application>
  <Pages>1</Pages>
  <Words>100</Words>
  <Characters>568</Characters>
  <CharactersWithSpaces>662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2020-07-17T10:39:10Z</dcterms:created>
  <dc:creator>bruno </dc:creator>
  <dc:description/>
  <dc:language>en-US</dc:language>
  <cp:lastModifiedBy>bruno </cp:lastModifiedBy>
  <dcterms:modified xsi:type="dcterms:W3CDTF">2020-07-17T11:46:00Z</dcterms:modified>
  <cp:revision>13</cp:revision>
  <dc:subject/>
  <dc:title/>
</cp:coreProperties>
</file>